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r>
        <w:rPr>
          <w:rFonts w:hint="eastAsia" w:ascii="仿宋" w:hAnsi="仿宋" w:eastAsia="仿宋" w:cs="仿宋"/>
          <w:b/>
          <w:sz w:val="48"/>
          <w:szCs w:val="48"/>
        </w:rPr>
        <w:t>技 术 服 务 合 同 书</w:t>
      </w:r>
    </w:p>
    <w:p/>
    <w:p/>
    <w:p/>
    <w:p/>
    <w:p/>
    <w:p/>
    <w:p/>
    <w:p/>
    <w:p/>
    <w:p/>
    <w:p/>
    <w:p>
      <w:bookmarkStart w:id="1" w:name="_GoBack"/>
      <w:bookmarkEnd w:id="1"/>
    </w:p>
    <w:p/>
    <w:p/>
    <w:p/>
    <w:tbl>
      <w:tblPr>
        <w:tblStyle w:val="9"/>
        <w:tblpPr w:leftFromText="180" w:rightFromText="180" w:vertAnchor="text" w:horzAnchor="page" w:tblpX="2397" w:tblpY="1372"/>
        <w:tblW w:w="0" w:type="auto"/>
        <w:tblInd w:w="0" w:type="dxa"/>
        <w:tblLayout w:type="fixed"/>
        <w:tblCellMar>
          <w:top w:w="0" w:type="dxa"/>
          <w:left w:w="108" w:type="dxa"/>
          <w:bottom w:w="0" w:type="dxa"/>
          <w:right w:w="108" w:type="dxa"/>
        </w:tblCellMar>
      </w:tblPr>
      <w:tblGrid>
        <w:gridCol w:w="7479"/>
      </w:tblGrid>
      <w:tr>
        <w:tblPrEx>
          <w:tblCellMar>
            <w:top w:w="0" w:type="dxa"/>
            <w:left w:w="108" w:type="dxa"/>
            <w:bottom w:w="0" w:type="dxa"/>
            <w:right w:w="108" w:type="dxa"/>
          </w:tblCellMar>
        </w:tblPrEx>
        <w:trPr>
          <w:trHeight w:val="446" w:hRule="atLeast"/>
        </w:trPr>
        <w:tc>
          <w:tcPr>
            <w:tcW w:w="7479" w:type="dxa"/>
          </w:tcPr>
          <w:p>
            <w:pPr>
              <w:tabs>
                <w:tab w:val="left" w:pos="720"/>
              </w:tabs>
              <w:spacing w:line="440" w:lineRule="exact"/>
              <w:ind w:left="1684" w:leftChars="228" w:hanging="1205" w:hangingChars="500"/>
              <w:jc w:val="left"/>
              <w:rPr>
                <w:rFonts w:hint="default" w:ascii="仿宋" w:hAnsi="仿宋" w:eastAsia="仿宋" w:cs="仿宋"/>
                <w:b/>
                <w:sz w:val="24"/>
                <w:szCs w:val="21"/>
                <w:u w:val="single"/>
                <w:lang w:val="en-US" w:eastAsia="zh-CN"/>
              </w:rPr>
            </w:pPr>
            <w:r>
              <w:rPr>
                <w:rFonts w:hint="eastAsia" w:ascii="仿宋" w:hAnsi="仿宋" w:eastAsia="仿宋" w:cs="仿宋"/>
                <w:b/>
                <w:sz w:val="24"/>
                <w:szCs w:val="21"/>
              </w:rPr>
              <w:t>项目名称：</w:t>
            </w:r>
            <w:r>
              <w:rPr>
                <w:rFonts w:hint="eastAsia" w:ascii="仿宋" w:hAnsi="仿宋" w:eastAsia="仿宋" w:cs="仿宋"/>
                <w:b/>
                <w:sz w:val="24"/>
                <w:szCs w:val="21"/>
                <w:lang w:val="en-US" w:eastAsia="zh-CN"/>
              </w:rPr>
              <w:t>湛江市海洋装备智能制造产业园基础设施建设项目海旺路东段初步设计评审</w:t>
            </w:r>
          </w:p>
        </w:tc>
      </w:tr>
      <w:tr>
        <w:tblPrEx>
          <w:tblCellMar>
            <w:top w:w="0" w:type="dxa"/>
            <w:left w:w="108" w:type="dxa"/>
            <w:bottom w:w="0" w:type="dxa"/>
            <w:right w:w="108" w:type="dxa"/>
          </w:tblCellMar>
        </w:tblPrEx>
        <w:trPr>
          <w:trHeight w:val="446" w:hRule="atLeast"/>
        </w:trPr>
        <w:tc>
          <w:tcPr>
            <w:tcW w:w="7479" w:type="dxa"/>
          </w:tcPr>
          <w:p>
            <w:pPr>
              <w:tabs>
                <w:tab w:val="left" w:pos="720"/>
              </w:tabs>
              <w:spacing w:line="440" w:lineRule="exact"/>
              <w:ind w:firstLine="482" w:firstLineChars="200"/>
              <w:jc w:val="left"/>
              <w:rPr>
                <w:rFonts w:ascii="仿宋" w:hAnsi="仿宋" w:eastAsia="仿宋" w:cs="仿宋"/>
                <w:b/>
                <w:sz w:val="24"/>
                <w:szCs w:val="21"/>
                <w:u w:val="single"/>
              </w:rPr>
            </w:pPr>
            <w:r>
              <w:rPr>
                <w:rFonts w:hint="eastAsia" w:ascii="仿宋" w:hAnsi="仿宋" w:eastAsia="仿宋" w:cs="仿宋"/>
                <w:b/>
                <w:sz w:val="24"/>
                <w:szCs w:val="21"/>
              </w:rPr>
              <w:t>合同编号：</w:t>
            </w:r>
          </w:p>
        </w:tc>
      </w:tr>
      <w:tr>
        <w:tblPrEx>
          <w:tblCellMar>
            <w:top w:w="0" w:type="dxa"/>
            <w:left w:w="108" w:type="dxa"/>
            <w:bottom w:w="0" w:type="dxa"/>
            <w:right w:w="108" w:type="dxa"/>
          </w:tblCellMar>
        </w:tblPrEx>
        <w:trPr>
          <w:trHeight w:val="446" w:hRule="atLeast"/>
        </w:trPr>
        <w:tc>
          <w:tcPr>
            <w:tcW w:w="7479" w:type="dxa"/>
          </w:tcPr>
          <w:p>
            <w:pPr>
              <w:tabs>
                <w:tab w:val="left" w:pos="720"/>
              </w:tabs>
              <w:spacing w:line="440" w:lineRule="exact"/>
              <w:ind w:firstLine="482" w:firstLineChars="200"/>
              <w:jc w:val="left"/>
              <w:rPr>
                <w:rFonts w:hint="default" w:ascii="仿宋" w:hAnsi="仿宋" w:eastAsia="仿宋" w:cs="仿宋"/>
                <w:b/>
                <w:sz w:val="24"/>
                <w:szCs w:val="21"/>
                <w:lang w:val="en-US" w:eastAsia="zh-CN"/>
              </w:rPr>
            </w:pPr>
            <w:r>
              <w:rPr>
                <w:rFonts w:hint="eastAsia" w:ascii="仿宋" w:hAnsi="仿宋" w:eastAsia="仿宋" w:cs="仿宋"/>
                <w:b/>
                <w:sz w:val="24"/>
                <w:szCs w:val="21"/>
              </w:rPr>
              <w:t>委托方（甲方）：</w:t>
            </w:r>
            <w:r>
              <w:rPr>
                <w:rFonts w:hint="eastAsia" w:ascii="仿宋" w:hAnsi="仿宋" w:eastAsia="仿宋" w:cs="仿宋"/>
                <w:b/>
                <w:sz w:val="24"/>
                <w:szCs w:val="21"/>
                <w:lang w:val="en-US" w:eastAsia="zh-CN"/>
              </w:rPr>
              <w:t>湛江市海东新区发展有限公司</w:t>
            </w:r>
          </w:p>
        </w:tc>
      </w:tr>
      <w:tr>
        <w:tblPrEx>
          <w:tblCellMar>
            <w:top w:w="0" w:type="dxa"/>
            <w:left w:w="108" w:type="dxa"/>
            <w:bottom w:w="0" w:type="dxa"/>
            <w:right w:w="108" w:type="dxa"/>
          </w:tblCellMar>
        </w:tblPrEx>
        <w:trPr>
          <w:trHeight w:val="460" w:hRule="atLeast"/>
        </w:trPr>
        <w:tc>
          <w:tcPr>
            <w:tcW w:w="7479" w:type="dxa"/>
          </w:tcPr>
          <w:p>
            <w:pPr>
              <w:tabs>
                <w:tab w:val="left" w:pos="720"/>
              </w:tabs>
              <w:spacing w:line="440" w:lineRule="exact"/>
              <w:ind w:firstLine="482" w:firstLineChars="200"/>
              <w:jc w:val="left"/>
              <w:rPr>
                <w:rFonts w:hint="eastAsia" w:ascii="仿宋" w:hAnsi="仿宋" w:eastAsia="仿宋" w:cs="仿宋"/>
                <w:b/>
                <w:sz w:val="24"/>
                <w:szCs w:val="21"/>
                <w:lang w:eastAsia="zh-CN"/>
              </w:rPr>
            </w:pPr>
            <w:r>
              <w:rPr>
                <w:rFonts w:hint="eastAsia" w:ascii="仿宋" w:hAnsi="仿宋" w:eastAsia="仿宋" w:cs="仿宋"/>
                <w:b/>
                <w:sz w:val="24"/>
                <w:szCs w:val="21"/>
              </w:rPr>
              <w:t>受托方（乙方）：</w:t>
            </w:r>
          </w:p>
        </w:tc>
      </w:tr>
      <w:tr>
        <w:tblPrEx>
          <w:tblCellMar>
            <w:top w:w="0" w:type="dxa"/>
            <w:left w:w="108" w:type="dxa"/>
            <w:bottom w:w="0" w:type="dxa"/>
            <w:right w:w="108" w:type="dxa"/>
          </w:tblCellMar>
        </w:tblPrEx>
        <w:trPr>
          <w:trHeight w:val="460" w:hRule="atLeast"/>
        </w:trPr>
        <w:tc>
          <w:tcPr>
            <w:tcW w:w="7479" w:type="dxa"/>
          </w:tcPr>
          <w:p>
            <w:pPr>
              <w:tabs>
                <w:tab w:val="left" w:pos="720"/>
              </w:tabs>
              <w:spacing w:line="440" w:lineRule="exact"/>
              <w:ind w:firstLine="482" w:firstLineChars="200"/>
              <w:jc w:val="left"/>
              <w:rPr>
                <w:rFonts w:ascii="仿宋" w:hAnsi="仿宋" w:eastAsia="仿宋" w:cs="仿宋"/>
                <w:b/>
                <w:sz w:val="24"/>
                <w:szCs w:val="21"/>
              </w:rPr>
            </w:pPr>
            <w:r>
              <w:rPr>
                <w:rFonts w:hint="eastAsia" w:ascii="仿宋" w:hAnsi="仿宋" w:eastAsia="仿宋" w:cs="仿宋"/>
                <w:b/>
                <w:sz w:val="24"/>
                <w:szCs w:val="21"/>
              </w:rPr>
              <w:t>签订地点：广东湛江</w:t>
            </w:r>
          </w:p>
        </w:tc>
      </w:tr>
    </w:tbl>
    <w:p/>
    <w:p/>
    <w:p/>
    <w:p/>
    <w:p/>
    <w:p>
      <w:pPr>
        <w:snapToGrid w:val="0"/>
        <w:spacing w:line="360" w:lineRule="auto"/>
        <w:jc w:val="center"/>
        <w:rPr>
          <w:rFonts w:ascii="仿宋" w:hAnsi="仿宋" w:eastAsia="仿宋" w:cs="仿宋"/>
          <w:b/>
          <w:sz w:val="48"/>
          <w:szCs w:val="48"/>
        </w:rPr>
      </w:pPr>
    </w:p>
    <w:p>
      <w:pPr>
        <w:snapToGrid w:val="0"/>
        <w:spacing w:line="360" w:lineRule="auto"/>
        <w:jc w:val="center"/>
        <w:rPr>
          <w:rFonts w:ascii="仿宋" w:hAnsi="仿宋" w:eastAsia="仿宋" w:cs="仿宋"/>
          <w:b/>
          <w:sz w:val="48"/>
          <w:szCs w:val="48"/>
        </w:rPr>
        <w:sectPr>
          <w:pgSz w:w="11906" w:h="16838"/>
          <w:pgMar w:top="1440" w:right="1800" w:bottom="1440" w:left="1800" w:header="851" w:footer="992" w:gutter="0"/>
          <w:cols w:space="425" w:num="1"/>
          <w:docGrid w:type="lines" w:linePitch="312" w:charSpace="0"/>
        </w:sectPr>
      </w:pPr>
    </w:p>
    <w:p>
      <w:pPr>
        <w:snapToGrid w:val="0"/>
        <w:spacing w:line="360" w:lineRule="auto"/>
        <w:jc w:val="center"/>
        <w:rPr>
          <w:rFonts w:ascii="仿宋" w:hAnsi="仿宋" w:eastAsia="仿宋" w:cs="仿宋"/>
          <w:b/>
          <w:sz w:val="48"/>
          <w:szCs w:val="48"/>
        </w:rPr>
      </w:pPr>
      <w:r>
        <w:rPr>
          <w:rFonts w:hint="eastAsia" w:ascii="仿宋" w:hAnsi="仿宋" w:eastAsia="仿宋" w:cs="仿宋"/>
          <w:b/>
          <w:sz w:val="48"/>
          <w:szCs w:val="48"/>
        </w:rPr>
        <w:t>技术服务合同</w:t>
      </w:r>
    </w:p>
    <w:p>
      <w:pPr>
        <w:snapToGrid w:val="0"/>
        <w:spacing w:line="560" w:lineRule="atLeast"/>
        <w:jc w:val="left"/>
        <w:rPr>
          <w:rFonts w:hint="eastAsia" w:ascii="仿宋" w:hAnsi="仿宋" w:eastAsia="仿宋" w:cs="仿宋"/>
          <w:b/>
          <w:sz w:val="24"/>
          <w:szCs w:val="21"/>
          <w:lang w:val="en-US" w:eastAsia="zh-CN"/>
        </w:rPr>
      </w:pPr>
      <w:r>
        <w:rPr>
          <w:rFonts w:hint="eastAsia" w:ascii="仿宋" w:hAnsi="仿宋" w:eastAsia="仿宋" w:cs="仿宋"/>
          <w:b/>
          <w:bCs/>
          <w:sz w:val="24"/>
        </w:rPr>
        <w:t>甲方：</w:t>
      </w:r>
      <w:r>
        <w:rPr>
          <w:rFonts w:hint="eastAsia" w:ascii="仿宋" w:hAnsi="仿宋" w:eastAsia="仿宋" w:cs="仿宋"/>
          <w:b/>
          <w:sz w:val="24"/>
          <w:szCs w:val="21"/>
          <w:lang w:val="en-US" w:eastAsia="zh-CN"/>
        </w:rPr>
        <w:t>湛江市海东新区发展有限公司</w:t>
      </w:r>
    </w:p>
    <w:p>
      <w:pPr>
        <w:snapToGrid w:val="0"/>
        <w:spacing w:line="560" w:lineRule="atLeast"/>
        <w:jc w:val="left"/>
        <w:rPr>
          <w:rFonts w:hint="eastAsia" w:ascii="仿宋" w:hAnsi="仿宋" w:eastAsia="仿宋" w:cs="仿宋"/>
          <w:b/>
          <w:bCs/>
          <w:sz w:val="24"/>
          <w:lang w:eastAsia="zh-CN"/>
        </w:rPr>
      </w:pPr>
      <w:r>
        <w:rPr>
          <w:rFonts w:hint="eastAsia" w:ascii="仿宋" w:hAnsi="仿宋" w:eastAsia="仿宋" w:cs="仿宋"/>
          <w:b/>
          <w:bCs/>
          <w:sz w:val="24"/>
        </w:rPr>
        <w:t>乙方：</w:t>
      </w:r>
    </w:p>
    <w:p>
      <w:pPr>
        <w:snapToGrid w:val="0"/>
        <w:spacing w:line="560" w:lineRule="atLeast"/>
        <w:jc w:val="left"/>
        <w:rPr>
          <w:rFonts w:ascii="仿宋" w:hAnsi="仿宋" w:eastAsia="仿宋" w:cs="仿宋"/>
          <w:b/>
          <w:bCs/>
          <w:sz w:val="24"/>
        </w:rPr>
      </w:pPr>
      <w:r>
        <w:rPr>
          <w:rFonts w:hint="eastAsia" w:ascii="仿宋" w:hAnsi="仿宋" w:eastAsia="仿宋" w:cs="仿宋"/>
          <w:b/>
          <w:bCs/>
          <w:sz w:val="24"/>
        </w:rPr>
        <w:t>签订地点：广东湛江</w:t>
      </w:r>
    </w:p>
    <w:p>
      <w:pPr>
        <w:snapToGrid w:val="0"/>
        <w:spacing w:line="560" w:lineRule="atLeast"/>
        <w:ind w:left="0" w:leftChars="0" w:firstLine="0" w:firstLineChars="0"/>
        <w:jc w:val="left"/>
        <w:rPr>
          <w:rFonts w:ascii="仿宋" w:hAnsi="仿宋" w:eastAsia="仿宋" w:cs="仿宋"/>
          <w:sz w:val="24"/>
        </w:rPr>
      </w:pPr>
      <w:r>
        <w:rPr>
          <w:rFonts w:hint="eastAsia" w:ascii="仿宋" w:hAnsi="仿宋" w:eastAsia="仿宋" w:cs="仿宋"/>
          <w:sz w:val="24"/>
        </w:rPr>
        <w:t>依据《中华人民共和国民法典》及国家有关法律法规，经过友好协商，</w:t>
      </w:r>
      <w:r>
        <w:rPr>
          <w:rFonts w:hint="eastAsia" w:ascii="仿宋" w:hAnsi="仿宋" w:eastAsia="仿宋" w:cs="仿宋"/>
          <w:sz w:val="24"/>
          <w:u w:val="single"/>
          <w:lang w:val="en-US" w:eastAsia="zh-CN"/>
        </w:rPr>
        <w:t xml:space="preserve"> 湛江市海东新区发展有限公司</w:t>
      </w:r>
      <w:r>
        <w:rPr>
          <w:rFonts w:hint="eastAsia" w:ascii="仿宋" w:hAnsi="仿宋" w:eastAsia="仿宋" w:cs="仿宋"/>
          <w:sz w:val="24"/>
          <w:u w:val="single"/>
        </w:rPr>
        <w:t>(</w:t>
      </w:r>
      <w:r>
        <w:rPr>
          <w:rFonts w:hint="eastAsia" w:ascii="仿宋" w:hAnsi="仿宋" w:eastAsia="仿宋" w:cs="仿宋"/>
          <w:sz w:val="24"/>
        </w:rPr>
        <w:t>以下简称“甲方”)、</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（以下简称“乙方”）双方本着平等互利的原则，同意按下述条款和条件签署本合同：</w:t>
      </w: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第一条  合同标的</w:t>
      </w:r>
    </w:p>
    <w:p>
      <w:pPr>
        <w:snapToGrid w:val="0"/>
        <w:spacing w:line="560" w:lineRule="atLeast"/>
        <w:jc w:val="left"/>
        <w:rPr>
          <w:rFonts w:ascii="仿宋" w:hAnsi="仿宋" w:eastAsia="仿宋" w:cs="仿宋"/>
          <w:sz w:val="24"/>
        </w:rPr>
      </w:pPr>
      <w:r>
        <w:rPr>
          <w:rFonts w:hint="eastAsia" w:ascii="仿宋" w:hAnsi="仿宋" w:eastAsia="仿宋" w:cs="仿宋"/>
          <w:sz w:val="24"/>
        </w:rPr>
        <w:t>本合同标的为:</w:t>
      </w:r>
    </w:p>
    <w:p>
      <w:pPr>
        <w:spacing w:line="560" w:lineRule="atLeast"/>
        <w:ind w:firstLine="570"/>
        <w:jc w:val="left"/>
        <w:rPr>
          <w:rFonts w:hint="eastAsia" w:ascii="仿宋" w:hAnsi="仿宋" w:eastAsia="仿宋" w:cs="仿宋"/>
          <w:b/>
          <w:bCs/>
          <w:sz w:val="24"/>
        </w:rPr>
      </w:pPr>
      <w:r>
        <w:rPr>
          <w:rFonts w:hint="eastAsia" w:ascii="仿宋" w:hAnsi="仿宋" w:eastAsia="仿宋" w:cs="仿宋"/>
          <w:sz w:val="24"/>
        </w:rPr>
        <w:t>向乙方购买合同规定的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湛江市海洋装备智能制造产业园基础设施建设项目海旺路东段</w:t>
      </w:r>
      <w:r>
        <w:rPr>
          <w:rFonts w:hint="eastAsia" w:ascii="仿宋" w:hAnsi="仿宋" w:eastAsia="仿宋" w:cs="仿宋"/>
          <w:sz w:val="24"/>
          <w:u w:val="single"/>
        </w:rPr>
        <w:t>初步设计”</w:t>
      </w:r>
      <w:r>
        <w:rPr>
          <w:rFonts w:hint="eastAsia" w:ascii="仿宋" w:hAnsi="仿宋" w:eastAsia="仿宋" w:cs="仿宋"/>
          <w:sz w:val="24"/>
        </w:rPr>
        <w:t>技术评审服务；乙方按要求提交成果给甲方，满足用户需求，提供的服务包括：</w:t>
      </w:r>
      <w:r>
        <w:rPr>
          <w:rFonts w:hint="eastAsia" w:ascii="仿宋" w:hAnsi="仿宋" w:eastAsia="仿宋" w:cs="仿宋"/>
          <w:sz w:val="24"/>
          <w:u w:val="single"/>
        </w:rPr>
        <w:t>根据甲方的需要对关于本项目初步设计各专业的图纸、计算书及勘察报告等资料进行技术评审服务</w:t>
      </w:r>
      <w:r>
        <w:rPr>
          <w:rFonts w:hint="eastAsia" w:ascii="仿宋" w:hAnsi="仿宋" w:eastAsia="仿宋" w:cs="仿宋"/>
          <w:sz w:val="24"/>
        </w:rPr>
        <w:t>。</w:t>
      </w: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第二条  工作内容</w:t>
      </w:r>
    </w:p>
    <w:p>
      <w:pPr>
        <w:pStyle w:val="3"/>
        <w:kinsoku w:val="0"/>
        <w:overflowPunct w:val="0"/>
        <w:spacing w:before="43" w:line="560" w:lineRule="atLeast"/>
        <w:ind w:left="100" w:firstLine="480" w:firstLineChars="200"/>
        <w:rPr>
          <w:rFonts w:ascii="仿宋" w:hAnsi="仿宋" w:eastAsia="仿宋" w:cs="仿宋"/>
          <w:sz w:val="24"/>
        </w:rPr>
      </w:pPr>
      <w:r>
        <w:rPr>
          <w:rFonts w:hint="eastAsia" w:ascii="仿宋" w:hAnsi="仿宋" w:eastAsia="仿宋" w:cs="仿宋"/>
          <w:sz w:val="24"/>
        </w:rPr>
        <w:t>1、初步设计是否符合有关部门批准的规划设计要点等相关批准文件，文件内容和编制深度基本满足国家住建部现行《市政公用工程设计文件编制深度规定》的要求；</w:t>
      </w:r>
    </w:p>
    <w:p>
      <w:pPr>
        <w:pStyle w:val="3"/>
        <w:kinsoku w:val="0"/>
        <w:overflowPunct w:val="0"/>
        <w:spacing w:before="43" w:line="560" w:lineRule="atLeast"/>
        <w:ind w:left="100" w:firstLine="480" w:firstLineChars="200"/>
        <w:rPr>
          <w:rFonts w:ascii="仿宋" w:hAnsi="仿宋" w:eastAsia="仿宋" w:cs="仿宋"/>
          <w:sz w:val="24"/>
        </w:rPr>
      </w:pPr>
      <w:r>
        <w:rPr>
          <w:rFonts w:hint="eastAsia" w:ascii="仿宋" w:hAnsi="仿宋" w:eastAsia="仿宋" w:cs="仿宋"/>
          <w:sz w:val="24"/>
        </w:rPr>
        <w:t>2、各有关专业设计深度是否能满足编制施工图设计、招标及施工准备的要求；</w:t>
      </w:r>
    </w:p>
    <w:p>
      <w:pPr>
        <w:spacing w:line="560" w:lineRule="atLeast"/>
        <w:ind w:firstLine="480" w:firstLineChars="200"/>
        <w:rPr>
          <w:rFonts w:hint="eastAsia" w:ascii="仿宋" w:hAnsi="仿宋" w:eastAsia="仿宋" w:cs="仿宋"/>
          <w:sz w:val="24"/>
        </w:rPr>
      </w:pPr>
      <w:r>
        <w:rPr>
          <w:rFonts w:hint="eastAsia" w:ascii="仿宋" w:hAnsi="仿宋" w:eastAsia="仿宋" w:cs="仿宋"/>
          <w:sz w:val="24"/>
        </w:rPr>
        <w:t>3、本工程项目初步设计文件是否符合规划条件和规范要求。</w:t>
      </w:r>
    </w:p>
    <w:p>
      <w:pPr>
        <w:pStyle w:val="2"/>
      </w:pPr>
    </w:p>
    <w:p>
      <w:pPr>
        <w:snapToGrid w:val="0"/>
        <w:spacing w:line="560" w:lineRule="atLeast"/>
        <w:ind w:firstLine="482" w:firstLineChars="200"/>
        <w:jc w:val="left"/>
        <w:rPr>
          <w:rFonts w:ascii="仿宋" w:hAnsi="仿宋" w:eastAsia="仿宋" w:cs="仿宋"/>
          <w:sz w:val="24"/>
        </w:rPr>
      </w:pPr>
      <w:r>
        <w:rPr>
          <w:rFonts w:hint="eastAsia" w:ascii="仿宋" w:hAnsi="仿宋" w:eastAsia="仿宋" w:cs="仿宋"/>
          <w:b/>
          <w:bCs/>
          <w:sz w:val="24"/>
        </w:rPr>
        <w:t>第三条  项目服务期限或完成工期</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甲方交齐审查所需资料之日起计</w:t>
      </w:r>
      <w:r>
        <w:rPr>
          <w:rFonts w:hint="eastAsia" w:ascii="仿宋" w:hAnsi="仿宋" w:eastAsia="仿宋" w:cs="仿宋"/>
          <w:sz w:val="24"/>
          <w:u w:val="single"/>
          <w:lang w:val="en-US" w:eastAsia="zh-CN"/>
        </w:rPr>
        <w:t>5</w:t>
      </w:r>
      <w:r>
        <w:rPr>
          <w:rFonts w:ascii="仿宋" w:hAnsi="仿宋" w:eastAsia="仿宋" w:cs="仿宋"/>
          <w:sz w:val="24"/>
        </w:rPr>
        <w:t xml:space="preserve"> </w:t>
      </w:r>
      <w:r>
        <w:rPr>
          <w:rFonts w:hint="eastAsia" w:ascii="仿宋" w:hAnsi="仿宋" w:eastAsia="仿宋" w:cs="仿宋"/>
          <w:sz w:val="24"/>
        </w:rPr>
        <w:t>天内，乙方应当完成初步设计评审工作。</w:t>
      </w:r>
    </w:p>
    <w:p>
      <w:pPr>
        <w:spacing w:line="560" w:lineRule="atLeast"/>
        <w:ind w:firstLine="482" w:firstLineChars="200"/>
        <w:jc w:val="left"/>
        <w:rPr>
          <w:rFonts w:hint="eastAsia" w:ascii="仿宋" w:hAnsi="仿宋" w:eastAsia="仿宋" w:cs="仿宋"/>
          <w:b/>
          <w:bCs/>
          <w:sz w:val="24"/>
        </w:rPr>
      </w:pPr>
    </w:p>
    <w:p>
      <w:pPr>
        <w:spacing w:line="560" w:lineRule="atLeast"/>
        <w:ind w:firstLine="482" w:firstLineChars="200"/>
        <w:jc w:val="left"/>
        <w:rPr>
          <w:rFonts w:ascii="仿宋" w:hAnsi="仿宋" w:eastAsia="仿宋" w:cs="仿宋"/>
          <w:bCs/>
          <w:sz w:val="24"/>
          <w:u w:val="single"/>
        </w:rPr>
      </w:pPr>
      <w:r>
        <w:rPr>
          <w:rFonts w:hint="eastAsia" w:ascii="仿宋" w:hAnsi="仿宋" w:eastAsia="仿宋" w:cs="仿宋"/>
          <w:b/>
          <w:bCs/>
          <w:sz w:val="24"/>
        </w:rPr>
        <w:t>第四条  项目成果提交：</w:t>
      </w:r>
    </w:p>
    <w:p>
      <w:pPr>
        <w:spacing w:line="560" w:lineRule="atLeast"/>
        <w:ind w:left="142" w:firstLine="480" w:firstLineChars="200"/>
        <w:rPr>
          <w:rFonts w:ascii="仿宋" w:hAnsi="仿宋" w:eastAsia="仿宋" w:cs="仿宋"/>
          <w:sz w:val="24"/>
        </w:rPr>
      </w:pPr>
      <w:r>
        <w:rPr>
          <w:rFonts w:hint="eastAsia" w:ascii="仿宋" w:hAnsi="仿宋" w:eastAsia="仿宋" w:cs="仿宋"/>
          <w:sz w:val="24"/>
        </w:rPr>
        <w:t>1、初步设计审查意见书（附设计单位对专家提出的意见做出是否采纳、 修改的书面意见回复）一式五份；</w:t>
      </w:r>
    </w:p>
    <w:p>
      <w:pPr>
        <w:spacing w:line="560" w:lineRule="atLeast"/>
        <w:ind w:left="435" w:firstLine="240" w:firstLineChars="100"/>
        <w:rPr>
          <w:rFonts w:ascii="仿宋" w:hAnsi="仿宋" w:eastAsia="仿宋" w:cs="仿宋"/>
          <w:sz w:val="24"/>
        </w:rPr>
      </w:pPr>
      <w:r>
        <w:rPr>
          <w:rFonts w:hint="eastAsia" w:ascii="仿宋" w:hAnsi="仿宋" w:eastAsia="仿宋" w:cs="仿宋"/>
          <w:sz w:val="24"/>
        </w:rPr>
        <w:t>2、专家及参会人员签到表及会议议程一式三份。</w:t>
      </w:r>
    </w:p>
    <w:p>
      <w:pPr>
        <w:spacing w:line="560" w:lineRule="atLeast"/>
        <w:ind w:firstLine="480" w:firstLineChars="200"/>
        <w:jc w:val="left"/>
        <w:rPr>
          <w:rFonts w:ascii="仿宋" w:hAnsi="仿宋" w:eastAsia="仿宋" w:cs="仿宋"/>
          <w:bCs/>
          <w:sz w:val="24"/>
          <w:u w:val="single"/>
        </w:rPr>
      </w:pPr>
      <w:r>
        <w:rPr>
          <w:rFonts w:hint="eastAsia" w:ascii="仿宋" w:hAnsi="仿宋" w:eastAsia="仿宋" w:cs="仿宋"/>
          <w:bCs/>
          <w:sz w:val="24"/>
          <w:u w:val="single"/>
        </w:rPr>
        <w:t xml:space="preserve">  3、成果文件有下列情况之一者无效：</w:t>
      </w:r>
    </w:p>
    <w:p>
      <w:pPr>
        <w:spacing w:line="560" w:lineRule="atLeast"/>
        <w:ind w:firstLine="480" w:firstLineChars="200"/>
        <w:jc w:val="left"/>
        <w:rPr>
          <w:rFonts w:ascii="仿宋" w:hAnsi="仿宋" w:eastAsia="仿宋" w:cs="仿宋"/>
          <w:bCs/>
          <w:sz w:val="24"/>
          <w:u w:val="single"/>
        </w:rPr>
      </w:pPr>
      <w:r>
        <w:rPr>
          <w:rFonts w:hint="eastAsia" w:ascii="仿宋" w:hAnsi="仿宋" w:eastAsia="仿宋" w:cs="仿宋"/>
          <w:bCs/>
          <w:sz w:val="24"/>
          <w:u w:val="single"/>
        </w:rPr>
        <w:t>（1）提交的成果文件明显不符合采购项目内容规定的成果内容和格式；</w:t>
      </w:r>
    </w:p>
    <w:p>
      <w:pPr>
        <w:spacing w:line="560" w:lineRule="atLeast"/>
        <w:ind w:firstLine="480" w:firstLineChars="200"/>
        <w:jc w:val="left"/>
        <w:rPr>
          <w:rFonts w:ascii="仿宋" w:hAnsi="仿宋" w:eastAsia="仿宋" w:cs="仿宋"/>
          <w:bCs/>
          <w:sz w:val="24"/>
          <w:u w:val="single"/>
        </w:rPr>
      </w:pPr>
      <w:r>
        <w:rPr>
          <w:rFonts w:hint="eastAsia" w:ascii="仿宋" w:hAnsi="仿宋" w:eastAsia="仿宋" w:cs="仿宋"/>
          <w:bCs/>
          <w:sz w:val="24"/>
          <w:u w:val="single"/>
        </w:rPr>
        <w:t>（2）未经采购人同意，擅自将成果用作其他用途或向第三方透露。</w:t>
      </w:r>
    </w:p>
    <w:p>
      <w:pPr>
        <w:spacing w:line="560" w:lineRule="atLeast"/>
        <w:ind w:firstLine="482" w:firstLineChars="200"/>
        <w:jc w:val="left"/>
        <w:rPr>
          <w:rFonts w:hint="eastAsia" w:ascii="仿宋" w:hAnsi="仿宋" w:eastAsia="仿宋" w:cs="仿宋"/>
          <w:b/>
          <w:bCs/>
          <w:sz w:val="24"/>
        </w:rPr>
      </w:pPr>
    </w:p>
    <w:p>
      <w:pPr>
        <w:spacing w:line="560" w:lineRule="atLeast"/>
        <w:ind w:firstLine="482" w:firstLineChars="200"/>
        <w:jc w:val="left"/>
        <w:rPr>
          <w:rFonts w:ascii="仿宋" w:hAnsi="仿宋" w:eastAsia="仿宋" w:cs="仿宋"/>
          <w:b/>
          <w:bCs/>
          <w:sz w:val="24"/>
          <w:u w:val="single"/>
        </w:rPr>
      </w:pPr>
      <w:r>
        <w:rPr>
          <w:rFonts w:hint="eastAsia" w:ascii="仿宋" w:hAnsi="仿宋" w:eastAsia="仿宋" w:cs="仿宋"/>
          <w:b/>
          <w:bCs/>
          <w:sz w:val="24"/>
        </w:rPr>
        <w:t>第五条  合同金额及支付</w:t>
      </w:r>
    </w:p>
    <w:p>
      <w:pPr>
        <w:spacing w:line="360" w:lineRule="auto"/>
        <w:ind w:firstLine="480" w:firstLineChars="200"/>
        <w:jc w:val="left"/>
        <w:rPr>
          <w:rFonts w:hint="default" w:ascii="仿宋" w:hAnsi="仿宋" w:eastAsia="仿宋" w:cs="仿宋"/>
          <w:bCs/>
          <w:sz w:val="24"/>
          <w:u w:val="single"/>
          <w:lang w:val="en-US" w:eastAsia="zh-CN"/>
        </w:rPr>
      </w:pPr>
      <w:r>
        <w:rPr>
          <w:rFonts w:hint="eastAsia" w:ascii="仿宋" w:hAnsi="仿宋" w:eastAsia="仿宋" w:cs="仿宋"/>
          <w:bCs/>
          <w:sz w:val="24"/>
        </w:rPr>
        <w:t>合同总金额暂按</w:t>
      </w:r>
      <w:r>
        <w:rPr>
          <w:rFonts w:hint="eastAsia" w:ascii="仿宋" w:hAnsi="仿宋" w:eastAsia="仿宋" w:cs="仿宋"/>
          <w:bCs/>
          <w:sz w:val="24"/>
          <w:u w:val="single"/>
        </w:rPr>
        <w:t xml:space="preserve">        </w:t>
      </w:r>
      <w:r>
        <w:rPr>
          <w:rFonts w:hint="eastAsia" w:ascii="仿宋" w:hAnsi="仿宋" w:eastAsia="仿宋" w:cs="仿宋"/>
          <w:bCs/>
          <w:sz w:val="24"/>
        </w:rPr>
        <w:t>元，报价折扣率为</w:t>
      </w:r>
      <w:r>
        <w:rPr>
          <w:rFonts w:hint="eastAsia" w:ascii="仿宋" w:hAnsi="仿宋" w:eastAsia="仿宋" w:cs="仿宋"/>
          <w:bCs/>
          <w:sz w:val="24"/>
          <w:u w:val="single"/>
        </w:rPr>
        <w:t xml:space="preserve">     </w:t>
      </w:r>
      <w:r>
        <w:rPr>
          <w:rFonts w:hint="eastAsia" w:ascii="仿宋" w:hAnsi="仿宋" w:eastAsia="仿宋" w:cs="仿宋"/>
          <w:bCs/>
          <w:sz w:val="24"/>
        </w:rPr>
        <w:t xml:space="preserve"> ，最终结算服务费以批复概算价按工程勘察设计收费导则（2021）计算为准。本合同金额已包含差旅费、交通费、人工费、资料费、行政费、专家费等所有相关费用，乙方不得以任何形式追加费用。</w:t>
      </w:r>
    </w:p>
    <w:p>
      <w:pPr>
        <w:tabs>
          <w:tab w:val="left" w:pos="312"/>
        </w:tabs>
        <w:snapToGrid w:val="0"/>
        <w:spacing w:line="560" w:lineRule="atLeast"/>
        <w:ind w:left="480"/>
        <w:jc w:val="left"/>
        <w:rPr>
          <w:rFonts w:ascii="仿宋" w:hAnsi="仿宋" w:eastAsia="仿宋" w:cs="仿宋"/>
          <w:bCs/>
          <w:sz w:val="24"/>
        </w:rPr>
      </w:pPr>
      <w:r>
        <w:rPr>
          <w:rFonts w:hint="eastAsia" w:ascii="仿宋" w:hAnsi="仿宋" w:eastAsia="仿宋" w:cs="仿宋"/>
          <w:bCs/>
          <w:sz w:val="24"/>
        </w:rPr>
        <w:t>1、向乙方支付费用：</w:t>
      </w:r>
    </w:p>
    <w:p>
      <w:pPr>
        <w:pStyle w:val="2"/>
        <w:numPr>
          <w:ilvl w:val="0"/>
          <w:numId w:val="1"/>
        </w:numPr>
        <w:spacing w:line="560" w:lineRule="atLeast"/>
        <w:rPr>
          <w:rFonts w:ascii="仿宋" w:hAnsi="仿宋" w:eastAsia="仿宋" w:cs="仿宋"/>
          <w:bCs/>
          <w:sz w:val="24"/>
        </w:rPr>
      </w:pPr>
      <w:r>
        <w:rPr>
          <w:rFonts w:hint="eastAsia" w:ascii="仿宋" w:hAnsi="仿宋" w:eastAsia="仿宋" w:cs="仿宋"/>
          <w:bCs/>
          <w:sz w:val="24"/>
        </w:rPr>
        <w:t>乙方完成初步设计审查，提交审查结论报告后，向甲方开具合法有效的6</w:t>
      </w:r>
      <w:r>
        <w:rPr>
          <w:rFonts w:ascii="仿宋" w:hAnsi="仿宋" w:eastAsia="仿宋" w:cs="仿宋"/>
          <w:bCs/>
          <w:sz w:val="24"/>
        </w:rPr>
        <w:t>%</w:t>
      </w:r>
      <w:r>
        <w:rPr>
          <w:rFonts w:hint="eastAsia" w:ascii="仿宋" w:hAnsi="仿宋" w:eastAsia="仿宋" w:cs="仿宋"/>
          <w:bCs/>
          <w:sz w:val="24"/>
        </w:rPr>
        <w:t>增值税专用发票和请款函，甲方10个工作日付清审查费</w:t>
      </w:r>
      <w:r>
        <w:rPr>
          <w:rFonts w:hint="eastAsia"/>
          <w:spacing w:val="-6"/>
          <w:sz w:val="28"/>
          <w:szCs w:val="28"/>
        </w:rPr>
        <w:t>。</w:t>
      </w:r>
    </w:p>
    <w:p>
      <w:pPr>
        <w:pStyle w:val="2"/>
        <w:numPr>
          <w:ilvl w:val="0"/>
          <w:numId w:val="1"/>
        </w:numPr>
        <w:spacing w:line="560" w:lineRule="atLeast"/>
        <w:rPr>
          <w:rFonts w:ascii="仿宋" w:hAnsi="仿宋" w:eastAsia="仿宋" w:cs="仿宋"/>
          <w:bCs/>
          <w:sz w:val="24"/>
        </w:rPr>
      </w:pPr>
      <w:r>
        <w:rPr>
          <w:rFonts w:hint="eastAsia" w:ascii="仿宋" w:hAnsi="仿宋" w:eastAsia="仿宋" w:cs="仿宋"/>
          <w:bCs/>
          <w:sz w:val="24"/>
        </w:rPr>
        <w:t>每次支付前，乙方应向甲方提供合法足额的增值税专用发票。乙方不开具发票的，甲方有权拒付费用且无需承担延期付款的违约责任。</w:t>
      </w:r>
    </w:p>
    <w:p>
      <w:pPr>
        <w:tabs>
          <w:tab w:val="left" w:pos="312"/>
          <w:tab w:val="left" w:pos="720"/>
        </w:tabs>
        <w:snapToGrid w:val="0"/>
        <w:spacing w:line="560" w:lineRule="atLeast"/>
        <w:ind w:left="480"/>
        <w:rPr>
          <w:rFonts w:ascii="仿宋" w:hAnsi="仿宋" w:eastAsia="仿宋" w:cs="仿宋"/>
          <w:sz w:val="24"/>
          <w:u w:val="single"/>
        </w:rPr>
      </w:pPr>
      <w:r>
        <w:rPr>
          <w:rFonts w:hint="eastAsia" w:ascii="仿宋" w:hAnsi="仿宋" w:eastAsia="仿宋" w:cs="仿宋"/>
          <w:bCs/>
          <w:sz w:val="24"/>
        </w:rPr>
        <w:t>2、付款方式：</w:t>
      </w:r>
      <w:r>
        <w:rPr>
          <w:rFonts w:hint="eastAsia" w:ascii="仿宋" w:hAnsi="仿宋" w:eastAsia="仿宋" w:cs="仿宋"/>
          <w:sz w:val="24"/>
          <w:u w:val="single"/>
        </w:rPr>
        <w:t xml:space="preserve"> 转账 </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第六条  甲方的责任和权利</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1、在合同签订后或正式委托之日向乙方提交以及履行本合同相关的所有必须的文件、资料（包括相关资料电子文档）。</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2、甲方有权随时向乙方了解项目进展并要求乙方提供项目相关材料，有权按照本合同的约定及有关法律法规和政府管理的相关职能规定，对本项目的开展进行监督和检查，对违规行为予以纠正。</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3、甲方及时认真组织和主持好对乙方成果的评审工作。</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4、本合同项下的所有中间成果、最终成果的所有权均属甲方所有。</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第七条  乙方的责任和权利</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1、乙方应自合同签订之日起</w:t>
      </w:r>
      <w:r>
        <w:rPr>
          <w:rFonts w:ascii="仿宋" w:hAnsi="仿宋" w:eastAsia="仿宋" w:cs="仿宋"/>
          <w:sz w:val="24"/>
        </w:rPr>
        <w:t>2</w:t>
      </w:r>
      <w:r>
        <w:rPr>
          <w:rFonts w:hint="eastAsia" w:ascii="仿宋" w:hAnsi="仿宋" w:eastAsia="仿宋" w:cs="仿宋"/>
          <w:sz w:val="24"/>
        </w:rPr>
        <w:t>日内一次性将需要甲方提供的资料以书面形式提交给甲方。如乙方没有在规定时限内提交给甲方，视为甲方提交的技术资料完整且及时。</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2、乙方须组织相关人员依照相关文件及规范进行初步设计评审工作，并按照合同约定的时间提供成果报告。</w:t>
      </w:r>
    </w:p>
    <w:p>
      <w:pPr>
        <w:pStyle w:val="2"/>
        <w:spacing w:line="560" w:lineRule="atLeast"/>
        <w:rPr>
          <w:rFonts w:eastAsia="仿宋"/>
        </w:rPr>
      </w:pPr>
      <w:r>
        <w:rPr>
          <w:rFonts w:hint="eastAsia" w:ascii="仿宋" w:hAnsi="仿宋" w:eastAsia="仿宋" w:cs="仿宋"/>
          <w:sz w:val="24"/>
        </w:rPr>
        <w:t>3、</w:t>
      </w:r>
      <w:r>
        <w:rPr>
          <w:rFonts w:hint="eastAsia" w:ascii="仿宋" w:hAnsi="仿宋" w:eastAsia="仿宋" w:cs="仿宋"/>
          <w:bCs/>
          <w:sz w:val="24"/>
        </w:rPr>
        <w:t>所编制的成果报告满足国家和各级政府有关设计法律、法规的要求，</w:t>
      </w:r>
      <w:r>
        <w:rPr>
          <w:rFonts w:hint="eastAsia" w:ascii="仿宋" w:hAnsi="仿宋" w:eastAsia="仿宋" w:cs="仿宋"/>
          <w:sz w:val="24"/>
        </w:rPr>
        <w:t>若成果文件未</w:t>
      </w:r>
      <w:r>
        <w:rPr>
          <w:rFonts w:hint="eastAsia" w:ascii="仿宋" w:hAnsi="仿宋" w:eastAsia="仿宋" w:cs="仿宋"/>
          <w:bCs/>
          <w:sz w:val="24"/>
        </w:rPr>
        <w:t>通过相关行业主管部门评审，需按评审意见和甲方指定的时间对成果文件进行修改，直至成果通过评审。</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4、未经甲方书面同意，乙方不得将本合同的全部或部分转包给第三方。</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5、乙方负责全部资料的保密工作，甲方向乙方提供的信息和资料，乙方保证用于且仅用于本项目，不得向任何第三方扩散或用作其他用途，否则乙方将承担相应责任。保密期限至该等资料为公众所知悉时止。</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6、未经甲方授权同意，乙方不得修改、泄漏相关数据；</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第八条  甲方违约责任</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1、合同签订后，由于甲方原因而擅自终止合同的，甲方应按完成的实际工作量支付合同款。同时，乙方应将已完成的阶段性成果移交给甲方。</w:t>
      </w:r>
    </w:p>
    <w:p>
      <w:pPr>
        <w:snapToGrid w:val="0"/>
        <w:spacing w:line="560" w:lineRule="atLeast"/>
        <w:ind w:firstLine="480" w:firstLineChars="200"/>
        <w:jc w:val="lef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、甲方未按照本合同约定的时间付款的，每逾期一天，甲方应以欠付金额为基数，按一年期贷款市场报价利率向乙方支付逾期付款利息作为违约金。</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第九条  乙方违约责任</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1、合同签订后，如乙方擅自中途停止或者怠于履行合同义务，甲方有权终止本合同，乙方应向甲方返还已支付的全部合同价款并赔偿合同价款的20%。</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2、如乙方未能按合同规定的日期提交成果时，每逾期1 天应向甲方支付1000 元违约金。因政府行为、甲方提供的资料不准确等客观原因造成的拖期，乙方不承担赔偿责任。如逾期天数超过1</w:t>
      </w:r>
      <w:r>
        <w:rPr>
          <w:rFonts w:ascii="仿宋" w:hAnsi="仿宋" w:eastAsia="仿宋" w:cs="仿宋"/>
          <w:sz w:val="24"/>
        </w:rPr>
        <w:t>5</w:t>
      </w:r>
      <w:r>
        <w:rPr>
          <w:rFonts w:hint="eastAsia" w:ascii="仿宋" w:hAnsi="仿宋" w:eastAsia="仿宋" w:cs="仿宋"/>
          <w:sz w:val="24"/>
        </w:rPr>
        <w:t>日，甲方有权单方解除本合同，乙方应在收到甲方单方解除合同通知之日起五日内全额退还甲方已支付的费用，此外，乙方还应按照合同价款的20%向甲方支付违约金，违约金不足以弥补承担违约责任并且赔偿甲方损失（损失包括直接损失和间接损失，间接损失包括但不限于诉讼费、公证费、评估费、鉴定费、差旅费、律师费等）的，乙方应予补足。</w:t>
      </w:r>
    </w:p>
    <w:p>
      <w:pPr>
        <w:snapToGrid w:val="0"/>
        <w:spacing w:line="560" w:lineRule="atLeast"/>
        <w:ind w:firstLine="480" w:firstLineChars="200"/>
        <w:jc w:val="lef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如乙方提交的成果未能通过相关行政主管部门审核的，乙方应在甲方限定的期限内予以修改完善，经过两次修改完善后仍然无法通过审核的，甲方有权单方解除本合同，乙方应在收到甲方单方解除合同通知之日起五日内全额退还甲方已支付的费用。此外，乙方还应</w:t>
      </w:r>
      <w:bookmarkStart w:id="0" w:name="_Hlk105406300"/>
      <w:r>
        <w:rPr>
          <w:rFonts w:hint="eastAsia" w:ascii="仿宋" w:hAnsi="仿宋" w:eastAsia="仿宋" w:cs="仿宋"/>
          <w:sz w:val="24"/>
        </w:rPr>
        <w:t>按照合同价款的</w:t>
      </w:r>
      <w:r>
        <w:rPr>
          <w:rFonts w:ascii="仿宋" w:hAnsi="仿宋" w:eastAsia="仿宋" w:cs="仿宋"/>
          <w:sz w:val="24"/>
        </w:rPr>
        <w:t>20</w:t>
      </w:r>
      <w:r>
        <w:rPr>
          <w:rFonts w:hint="eastAsia" w:ascii="仿宋" w:hAnsi="仿宋" w:eastAsia="仿宋" w:cs="仿宋"/>
          <w:sz w:val="24"/>
        </w:rPr>
        <w:t>%向甲方支付违约金，违约金不足以弥补甲方损失（损失包括直接损失和间接损失，间接损失包括但不限于诉讼费、公证费、评估费、鉴定费、差旅费、律师费等）的，乙方应予补足。</w:t>
      </w:r>
    </w:p>
    <w:bookmarkEnd w:id="0"/>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4、乙方对在工作过程中接触到的甲方的任何资料、文件、数据（无论是书面的还是电子的),以及对为甲方服务形成的任何交付物,负有为甲方保密的责任 如乙方擅自将乙方的资料或成果用作其他用途或向第三方透露，甲方有权拒绝向乙方支付任何费用，已经支付的，乙方应向甲方返还。如造成甲方损失的，还要赔偿甲方的实际损失（包括直接损失和间接损失，间接损失包括但不限于诉讼费、公证费、评估费、鉴定费、差旅费、律师费等）。</w:t>
      </w:r>
    </w:p>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5、乙方擅自转包本合同标的，甲方有权解除合同，不承担任何违约责任，不向乙方支付任何费用，已经支付的，乙方应向甲方返还。甲方并可要求乙方偿付合同价</w:t>
      </w:r>
      <w:r>
        <w:rPr>
          <w:rFonts w:ascii="仿宋" w:hAnsi="仿宋" w:eastAsia="仿宋" w:cs="仿宋"/>
          <w:sz w:val="24"/>
        </w:rPr>
        <w:t>20</w:t>
      </w:r>
      <w:r>
        <w:rPr>
          <w:rFonts w:hint="eastAsia" w:ascii="仿宋" w:hAnsi="仿宋" w:eastAsia="仿宋" w:cs="仿宋"/>
          <w:sz w:val="24"/>
        </w:rPr>
        <w:t>%违约金。</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6、上述甲方的损失包括直接损失和间接损失，间接损失包括但不限于诉讼费、公证费、评估费、鉴定费、差旅费、律师费等。</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sz w:val="24"/>
        </w:rPr>
      </w:pPr>
      <w:r>
        <w:rPr>
          <w:rFonts w:hint="eastAsia" w:ascii="仿宋" w:hAnsi="仿宋" w:eastAsia="仿宋" w:cs="仿宋"/>
          <w:b/>
          <w:bCs/>
          <w:sz w:val="24"/>
        </w:rPr>
        <w:t>第十条  税费</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1.中国政府根据现行税法所征收的一切税费均由各缴税责任方独立承担。</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2.在中国境外发生的与本合同相关的一切税费及不可预见费均由乙方负担。</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第十一条  不可抗力</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任何一方由于不可抗力原因不能履行合同时，应在不可抗力事件结束后1 天内向对方通报，以减轻可能给对方造成的损失，在取得有关机构的不可抗力证明或双方谅解确认后，允许延期履行或修订合同，并根据情况可部分或全部免于承担违约责任。</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第十二条  争议的解决</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任何由于本合同引起的或与其有关的纠纷或争议，合同双方应本着互信互谅的原则通过友好协商解决。协商不成的，任何一方可到提交甲方所在地人民法院诉讼解决。</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sz w:val="24"/>
        </w:rPr>
      </w:pPr>
      <w:r>
        <w:rPr>
          <w:rFonts w:hint="eastAsia" w:ascii="仿宋" w:hAnsi="仿宋" w:eastAsia="仿宋" w:cs="仿宋"/>
          <w:b/>
          <w:bCs/>
          <w:sz w:val="24"/>
        </w:rPr>
        <w:t>第十三条合同生效</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 本合同经双方法定代表人、负责人或授权代表签字，并加盖公章之日起即生效。合同一式</w:t>
      </w:r>
      <w:r>
        <w:rPr>
          <w:rFonts w:hint="eastAsia" w:ascii="仿宋" w:hAnsi="仿宋" w:eastAsia="仿宋" w:cs="仿宋"/>
          <w:sz w:val="24"/>
          <w:u w:val="single"/>
        </w:rPr>
        <w:t>陆</w:t>
      </w:r>
      <w:r>
        <w:rPr>
          <w:rFonts w:hint="eastAsia" w:ascii="仿宋" w:hAnsi="仿宋" w:eastAsia="仿宋" w:cs="仿宋"/>
          <w:sz w:val="24"/>
        </w:rPr>
        <w:t>份，甲方执</w:t>
      </w:r>
      <w:r>
        <w:rPr>
          <w:rFonts w:hint="eastAsia" w:ascii="仿宋" w:hAnsi="仿宋" w:eastAsia="仿宋" w:cs="仿宋"/>
          <w:sz w:val="24"/>
          <w:u w:val="single"/>
        </w:rPr>
        <w:t>肆</w:t>
      </w:r>
      <w:r>
        <w:rPr>
          <w:rFonts w:hint="eastAsia" w:ascii="仿宋" w:hAnsi="仿宋" w:eastAsia="仿宋" w:cs="仿宋"/>
          <w:sz w:val="24"/>
        </w:rPr>
        <w:t>份，乙方执</w:t>
      </w:r>
      <w:r>
        <w:rPr>
          <w:rFonts w:hint="eastAsia" w:ascii="仿宋" w:hAnsi="仿宋" w:eastAsia="仿宋" w:cs="仿宋"/>
          <w:sz w:val="24"/>
          <w:u w:val="single"/>
        </w:rPr>
        <w:t>贰</w:t>
      </w:r>
      <w:r>
        <w:rPr>
          <w:rFonts w:hint="eastAsia" w:ascii="仿宋" w:hAnsi="仿宋" w:eastAsia="仿宋" w:cs="仿宋"/>
          <w:sz w:val="24"/>
        </w:rPr>
        <w:t>份。</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 对本合同文本中的条款进行任何涂改或增减，须经双方授权代表在修改处签字并盖章，方可发生法律效力。</w:t>
      </w:r>
    </w:p>
    <w:p>
      <w:pPr>
        <w:pStyle w:val="2"/>
        <w:snapToGrid w:val="0"/>
        <w:spacing w:line="560" w:lineRule="atLeast"/>
        <w:ind w:firstLine="480" w:firstLineChars="200"/>
      </w:pPr>
      <w:r>
        <w:rPr>
          <w:rFonts w:hint="eastAsia" w:ascii="仿宋" w:hAnsi="仿宋" w:eastAsia="仿宋" w:cs="仿宋"/>
          <w:sz w:val="24"/>
        </w:rPr>
        <w:t>3.其它未尽事宜由双方另行协商，并以经双方协商后形成的有关协议为准。</w:t>
      </w: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第十四条  其他</w:t>
      </w:r>
    </w:p>
    <w:p>
      <w:pPr>
        <w:snapToGrid w:val="0"/>
        <w:spacing w:line="560" w:lineRule="atLeas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1、本合同所有附件均为合同的有效组成部分，与本合同具有同等法律效力。</w:t>
      </w:r>
    </w:p>
    <w:p>
      <w:pPr>
        <w:snapToGrid w:val="0"/>
        <w:spacing w:line="560" w:lineRule="atLeas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2、在执行本合同的过程中，所有经双方签署确认的文件（包括会议纪要、补充协议、往来信函）即成为本合同的有效组成部分。</w:t>
      </w:r>
    </w:p>
    <w:p>
      <w:pPr>
        <w:snapToGrid w:val="0"/>
        <w:spacing w:line="560" w:lineRule="atLeas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3、双方当事人在本合同载明的地址可用于双方履行合同过程中各类通知、协议以及就合同发生纠纷时相关文件和法律文书的送达，同时包括在争议进入民事诉讼程序后的一审、二审、再审和执行程序。该通讯地址是人民法院向送达司法文书及其他书面文件的有效地址。如本合同任何一方的通讯地址发生变化,应在通讯地址变更后3日内通过书面方式通知对方，未在上述期限内通知的，其他方按本合同所载资料向该方发送所有通知或文书，视同送达。</w:t>
      </w:r>
    </w:p>
    <w:p>
      <w:pPr>
        <w:snapToGrid w:val="0"/>
        <w:spacing w:line="560" w:lineRule="atLeast"/>
        <w:ind w:firstLine="480" w:firstLineChars="200"/>
        <w:jc w:val="left"/>
        <w:rPr>
          <w:rFonts w:hint="eastAsia" w:ascii="仿宋" w:hAnsi="仿宋" w:eastAsia="仿宋" w:cs="仿宋"/>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snapToGrid w:val="0"/>
        <w:spacing w:line="560" w:lineRule="atLeast"/>
        <w:ind w:firstLine="480" w:firstLineChars="200"/>
        <w:jc w:val="left"/>
        <w:rPr>
          <w:rFonts w:ascii="仿宋" w:hAnsi="仿宋" w:eastAsia="仿宋" w:cs="仿宋"/>
          <w:sz w:val="24"/>
          <w:szCs w:val="20"/>
        </w:rPr>
      </w:pPr>
      <w:r>
        <w:rPr>
          <w:rFonts w:hint="eastAsia" w:ascii="仿宋" w:hAnsi="仿宋" w:eastAsia="仿宋" w:cs="仿宋"/>
          <w:sz w:val="24"/>
          <w:szCs w:val="20"/>
        </w:rPr>
        <w:t>---------------------以下无正文内容-----------------------</w:t>
      </w:r>
    </w:p>
    <w:p>
      <w:pPr>
        <w:spacing w:line="560" w:lineRule="exact"/>
        <w:rPr>
          <w:rFonts w:ascii="仿宋" w:hAnsi="仿宋" w:eastAsia="仿宋" w:cs="仿宋"/>
          <w:b/>
          <w:sz w:val="24"/>
          <w:szCs w:val="20"/>
        </w:rPr>
      </w:pPr>
    </w:p>
    <w:p>
      <w:pPr>
        <w:spacing w:line="560" w:lineRule="exact"/>
        <w:ind w:firstLine="482" w:firstLineChars="200"/>
        <w:rPr>
          <w:rFonts w:ascii="仿宋" w:hAnsi="仿宋" w:eastAsia="仿宋" w:cs="仿宋"/>
          <w:b/>
          <w:sz w:val="24"/>
          <w:szCs w:val="20"/>
        </w:rPr>
      </w:pPr>
    </w:p>
    <w:p>
      <w:pPr>
        <w:spacing w:line="560" w:lineRule="exact"/>
        <w:ind w:left="1687" w:hanging="1687" w:hangingChars="700"/>
        <w:rPr>
          <w:rFonts w:ascii="仿宋" w:hAnsi="仿宋" w:eastAsia="仿宋" w:cs="仿宋"/>
          <w:b/>
          <w:sz w:val="24"/>
          <w:szCs w:val="20"/>
        </w:rPr>
      </w:pPr>
      <w:r>
        <w:rPr>
          <w:rFonts w:hint="eastAsia" w:ascii="仿宋" w:hAnsi="仿宋" w:eastAsia="仿宋" w:cs="仿宋"/>
          <w:b/>
          <w:sz w:val="24"/>
          <w:szCs w:val="20"/>
        </w:rPr>
        <w:t>甲方（盖章）：</w:t>
      </w:r>
      <w:r>
        <w:rPr>
          <w:rFonts w:hint="eastAsia" w:ascii="仿宋" w:hAnsi="仿宋" w:eastAsia="仿宋" w:cs="仿宋"/>
          <w:b/>
          <w:sz w:val="24"/>
          <w:szCs w:val="20"/>
          <w:lang w:val="en-US" w:eastAsia="zh-CN"/>
        </w:rPr>
        <w:t>湛江市海东新区发展</w:t>
      </w:r>
      <w:r>
        <w:rPr>
          <w:rFonts w:hint="eastAsia" w:ascii="仿宋" w:hAnsi="仿宋" w:eastAsia="仿宋" w:cs="仿宋"/>
          <w:b/>
          <w:sz w:val="24"/>
          <w:szCs w:val="20"/>
        </w:rPr>
        <w:t xml:space="preserve">  </w:t>
      </w:r>
      <w:r>
        <w:rPr>
          <w:rFonts w:hint="eastAsia" w:ascii="仿宋" w:hAnsi="仿宋" w:eastAsia="仿宋" w:cs="仿宋"/>
          <w:b/>
          <w:sz w:val="24"/>
          <w:szCs w:val="20"/>
          <w:lang w:val="en-US" w:eastAsia="zh-CN"/>
        </w:rPr>
        <w:t xml:space="preserve">    </w:t>
      </w:r>
      <w:r>
        <w:rPr>
          <w:rFonts w:hint="eastAsia" w:ascii="仿宋" w:hAnsi="仿宋" w:eastAsia="仿宋" w:cs="仿宋"/>
          <w:b/>
          <w:sz w:val="24"/>
          <w:szCs w:val="20"/>
        </w:rPr>
        <w:t>乙方（盖章）：</w:t>
      </w:r>
    </w:p>
    <w:p>
      <w:pPr>
        <w:spacing w:line="560" w:lineRule="exact"/>
        <w:ind w:right="25" w:rightChars="12"/>
        <w:rPr>
          <w:rFonts w:hint="default" w:ascii="仿宋" w:hAnsi="仿宋" w:eastAsia="仿宋" w:cs="仿宋"/>
          <w:b/>
          <w:sz w:val="24"/>
          <w:szCs w:val="20"/>
          <w:lang w:val="en-US" w:eastAsia="zh-CN"/>
        </w:rPr>
      </w:pPr>
      <w:r>
        <w:rPr>
          <w:rFonts w:hint="eastAsia" w:ascii="仿宋" w:hAnsi="仿宋" w:eastAsia="仿宋" w:cs="仿宋"/>
          <w:b/>
          <w:sz w:val="24"/>
          <w:szCs w:val="20"/>
          <w:lang w:val="en-US" w:eastAsia="zh-CN"/>
        </w:rPr>
        <w:t xml:space="preserve">            有限公司</w:t>
      </w:r>
    </w:p>
    <w:p>
      <w:pPr>
        <w:spacing w:line="560" w:lineRule="exact"/>
        <w:ind w:right="25" w:rightChars="12"/>
        <w:rPr>
          <w:rFonts w:ascii="仿宋" w:hAnsi="仿宋" w:eastAsia="仿宋" w:cs="仿宋"/>
          <w:b/>
          <w:sz w:val="24"/>
          <w:szCs w:val="20"/>
        </w:rPr>
      </w:pPr>
      <w:r>
        <w:rPr>
          <w:rFonts w:hint="eastAsia" w:ascii="仿宋" w:hAnsi="仿宋" w:eastAsia="仿宋" w:cs="仿宋"/>
          <w:b/>
          <w:sz w:val="24"/>
          <w:szCs w:val="20"/>
        </w:rPr>
        <w:t>签约代表：                             签约代表：</w:t>
      </w:r>
    </w:p>
    <w:p>
      <w:pPr>
        <w:spacing w:line="560" w:lineRule="exact"/>
        <w:rPr>
          <w:rFonts w:ascii="仿宋" w:hAnsi="仿宋" w:eastAsia="仿宋" w:cs="仿宋"/>
          <w:sz w:val="24"/>
          <w:szCs w:val="20"/>
        </w:rPr>
      </w:pPr>
      <w:r>
        <w:rPr>
          <w:rFonts w:hint="eastAsia" w:ascii="仿宋" w:hAnsi="仿宋" w:eastAsia="仿宋" w:cs="仿宋"/>
          <w:sz w:val="24"/>
          <w:szCs w:val="20"/>
        </w:rPr>
        <w:t>签订地点：广东湛江                     签订地点：广东湛江</w:t>
      </w:r>
    </w:p>
    <w:p>
      <w:pPr>
        <w:spacing w:line="560" w:lineRule="exact"/>
        <w:rPr>
          <w:rFonts w:ascii="仿宋" w:hAnsi="仿宋" w:eastAsia="仿宋" w:cs="仿宋"/>
          <w:sz w:val="24"/>
          <w:szCs w:val="20"/>
        </w:rPr>
      </w:pPr>
      <w:r>
        <w:rPr>
          <w:rFonts w:hint="eastAsia" w:ascii="仿宋" w:hAnsi="仿宋" w:eastAsia="仿宋" w:cs="仿宋"/>
          <w:sz w:val="24"/>
          <w:szCs w:val="20"/>
        </w:rPr>
        <w:t xml:space="preserve">签订日期：      年    月   日          签订日期：    年    月    日    </w:t>
      </w:r>
    </w:p>
    <w:p>
      <w:pPr>
        <w:spacing w:line="560" w:lineRule="exact"/>
        <w:rPr>
          <w:rFonts w:ascii="仿宋" w:hAnsi="仿宋" w:eastAsia="仿宋" w:cs="仿宋"/>
          <w:sz w:val="24"/>
          <w:szCs w:val="20"/>
        </w:rPr>
      </w:pPr>
    </w:p>
    <w:p>
      <w:pPr>
        <w:spacing w:line="560" w:lineRule="exact"/>
        <w:ind w:left="6000" w:hanging="6000" w:hangingChars="2500"/>
        <w:rPr>
          <w:rFonts w:hint="eastAsia" w:ascii="仿宋" w:hAnsi="仿宋" w:eastAsia="仿宋" w:cs="仿宋"/>
          <w:sz w:val="24"/>
          <w:szCs w:val="20"/>
          <w:lang w:eastAsia="zh-CN"/>
        </w:rPr>
      </w:pPr>
      <w:r>
        <w:rPr>
          <w:rFonts w:hint="eastAsia" w:ascii="仿宋" w:hAnsi="仿宋" w:eastAsia="仿宋" w:cs="仿宋"/>
          <w:sz w:val="24"/>
          <w:szCs w:val="20"/>
        </w:rPr>
        <w:t xml:space="preserve">开户名称：                            </w:t>
      </w:r>
      <w:r>
        <w:rPr>
          <w:rFonts w:hint="eastAsia" w:ascii="仿宋" w:hAnsi="仿宋" w:eastAsia="仿宋" w:cs="仿宋"/>
          <w:sz w:val="24"/>
          <w:szCs w:val="20"/>
          <w:lang w:val="en-US" w:eastAsia="zh-CN"/>
        </w:rPr>
        <w:t xml:space="preserve"> </w:t>
      </w:r>
      <w:r>
        <w:rPr>
          <w:rFonts w:hint="eastAsia" w:ascii="仿宋" w:hAnsi="仿宋" w:eastAsia="仿宋" w:cs="仿宋"/>
          <w:sz w:val="24"/>
          <w:szCs w:val="20"/>
        </w:rPr>
        <w:t>开户名称：</w:t>
      </w:r>
    </w:p>
    <w:p>
      <w:pPr>
        <w:spacing w:line="560" w:lineRule="exact"/>
        <w:rPr>
          <w:rFonts w:ascii="仿宋" w:hAnsi="仿宋" w:eastAsia="仿宋" w:cs="仿宋"/>
          <w:sz w:val="24"/>
          <w:szCs w:val="20"/>
        </w:rPr>
      </w:pPr>
      <w:r>
        <w:rPr>
          <w:rFonts w:hint="eastAsia" w:ascii="仿宋" w:hAnsi="仿宋" w:eastAsia="仿宋" w:cs="仿宋"/>
          <w:sz w:val="24"/>
          <w:szCs w:val="20"/>
        </w:rPr>
        <w:t>纳税人识别号：                         纳税人识别号：</w:t>
      </w:r>
    </w:p>
    <w:p>
      <w:pPr>
        <w:spacing w:line="560" w:lineRule="exact"/>
        <w:rPr>
          <w:rFonts w:ascii="仿宋" w:hAnsi="仿宋" w:eastAsia="仿宋" w:cs="仿宋"/>
          <w:sz w:val="24"/>
          <w:szCs w:val="20"/>
        </w:rPr>
      </w:pPr>
      <w:r>
        <w:rPr>
          <w:rFonts w:hint="eastAsia" w:ascii="仿宋" w:hAnsi="仿宋" w:eastAsia="仿宋" w:cs="仿宋"/>
          <w:sz w:val="24"/>
          <w:szCs w:val="20"/>
        </w:rPr>
        <w:t>地址：                                地址：</w:t>
      </w:r>
    </w:p>
    <w:p>
      <w:pPr>
        <w:spacing w:line="500" w:lineRule="atLeast"/>
        <w:ind w:left="6000" w:hanging="6000" w:hangingChars="2500"/>
        <w:rPr>
          <w:rFonts w:hint="eastAsia" w:ascii="仿宋" w:hAnsi="仿宋" w:eastAsia="仿宋" w:cs="仿宋"/>
          <w:spacing w:val="-11"/>
          <w:sz w:val="24"/>
          <w:szCs w:val="20"/>
        </w:rPr>
      </w:pPr>
      <w:r>
        <w:rPr>
          <w:rFonts w:hint="eastAsia" w:ascii="仿宋" w:hAnsi="仿宋" w:eastAsia="仿宋" w:cs="仿宋"/>
          <w:sz w:val="24"/>
          <w:szCs w:val="20"/>
        </w:rPr>
        <w:t xml:space="preserve">开户银行：                           </w:t>
      </w:r>
      <w:r>
        <w:rPr>
          <w:rFonts w:hint="eastAsia" w:ascii="仿宋" w:hAnsi="仿宋" w:eastAsia="仿宋" w:cs="仿宋"/>
          <w:sz w:val="24"/>
          <w:szCs w:val="20"/>
          <w:lang w:val="en-US" w:eastAsia="zh-CN"/>
        </w:rPr>
        <w:t xml:space="preserve"> </w:t>
      </w:r>
      <w:r>
        <w:rPr>
          <w:rFonts w:hint="eastAsia" w:ascii="仿宋" w:hAnsi="仿宋" w:eastAsia="仿宋" w:cs="仿宋"/>
          <w:sz w:val="24"/>
          <w:szCs w:val="20"/>
        </w:rPr>
        <w:t>开户银行：</w:t>
      </w:r>
    </w:p>
    <w:p>
      <w:pPr>
        <w:spacing w:line="500" w:lineRule="atLeast"/>
        <w:rPr>
          <w:rFonts w:ascii="仿宋" w:hAnsi="仿宋" w:eastAsia="仿宋" w:cs="仿宋"/>
          <w:sz w:val="24"/>
          <w:szCs w:val="20"/>
        </w:rPr>
      </w:pPr>
      <w:r>
        <w:rPr>
          <w:rFonts w:hint="eastAsia" w:ascii="仿宋" w:hAnsi="仿宋" w:eastAsia="仿宋" w:cs="仿宋"/>
          <w:sz w:val="24"/>
          <w:szCs w:val="20"/>
        </w:rPr>
        <w:t xml:space="preserve">帐号：                               </w:t>
      </w:r>
      <w:r>
        <w:rPr>
          <w:rFonts w:hint="eastAsia" w:ascii="仿宋" w:hAnsi="仿宋" w:eastAsia="仿宋" w:cs="仿宋"/>
          <w:sz w:val="24"/>
          <w:szCs w:val="20"/>
          <w:lang w:val="en-US" w:eastAsia="zh-CN"/>
        </w:rPr>
        <w:t xml:space="preserve"> </w:t>
      </w:r>
      <w:r>
        <w:rPr>
          <w:rFonts w:hint="eastAsia" w:ascii="仿宋" w:hAnsi="仿宋" w:eastAsia="仿宋" w:cs="仿宋"/>
          <w:sz w:val="24"/>
          <w:szCs w:val="20"/>
        </w:rPr>
        <w:t>帐号：</w:t>
      </w:r>
    </w:p>
    <w:p>
      <w:pPr>
        <w:spacing w:line="560" w:lineRule="exact"/>
      </w:pPr>
    </w:p>
    <w:p>
      <w:pPr>
        <w:pStyle w:val="2"/>
        <w:ind w:firstLine="0"/>
        <w:rPr>
          <w:rFonts w:ascii="仿宋" w:hAnsi="仿宋" w:eastAsia="仿宋" w:cs="仿宋"/>
          <w:bCs/>
          <w:sz w:val="24"/>
          <w:u w:val="single"/>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lang w:val="en-US" w:eastAsia="zh-CN"/>
                            </w:rPr>
                            <w:t>8</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lang w:val="en-US" w:eastAsia="zh-CN"/>
                      </w:rPr>
                      <w:t>8</w:t>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B04B99"/>
    <w:multiLevelType w:val="singleLevel"/>
    <w:tmpl w:val="0EB04B99"/>
    <w:lvl w:ilvl="0" w:tentative="0">
      <w:start w:val="1"/>
      <w:numFmt w:val="decimal"/>
      <w:lvlText w:val="(%1)"/>
      <w:lvlJc w:val="left"/>
      <w:pPr>
        <w:tabs>
          <w:tab w:val="left" w:pos="312"/>
        </w:tabs>
        <w:ind w:left="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jRjMDdiMDgzODA2OGZiNmFhYTYwZTRlYjBkY2EifQ=="/>
  </w:docVars>
  <w:rsids>
    <w:rsidRoot w:val="003E4C5D"/>
    <w:rsid w:val="000307E6"/>
    <w:rsid w:val="00057D70"/>
    <w:rsid w:val="00074317"/>
    <w:rsid w:val="000D3A90"/>
    <w:rsid w:val="000F2B11"/>
    <w:rsid w:val="00121ADA"/>
    <w:rsid w:val="0016445F"/>
    <w:rsid w:val="001803D8"/>
    <w:rsid w:val="001B394B"/>
    <w:rsid w:val="00247F9D"/>
    <w:rsid w:val="002608FA"/>
    <w:rsid w:val="002E7B40"/>
    <w:rsid w:val="003364B0"/>
    <w:rsid w:val="0036301B"/>
    <w:rsid w:val="003D1DAD"/>
    <w:rsid w:val="003E4C5D"/>
    <w:rsid w:val="0044373C"/>
    <w:rsid w:val="004806DF"/>
    <w:rsid w:val="0052635A"/>
    <w:rsid w:val="00544413"/>
    <w:rsid w:val="00546810"/>
    <w:rsid w:val="005907CC"/>
    <w:rsid w:val="00593E64"/>
    <w:rsid w:val="005F565D"/>
    <w:rsid w:val="00600FB7"/>
    <w:rsid w:val="006270F3"/>
    <w:rsid w:val="006F6C3D"/>
    <w:rsid w:val="007803C4"/>
    <w:rsid w:val="007916B2"/>
    <w:rsid w:val="008A7889"/>
    <w:rsid w:val="00926661"/>
    <w:rsid w:val="009944BF"/>
    <w:rsid w:val="009A25A2"/>
    <w:rsid w:val="009D2AED"/>
    <w:rsid w:val="00A0740E"/>
    <w:rsid w:val="00A54B7B"/>
    <w:rsid w:val="00AA4836"/>
    <w:rsid w:val="00C26CB1"/>
    <w:rsid w:val="00C31EDA"/>
    <w:rsid w:val="00C43339"/>
    <w:rsid w:val="00CA259D"/>
    <w:rsid w:val="00CB4718"/>
    <w:rsid w:val="00D4224C"/>
    <w:rsid w:val="00DA404C"/>
    <w:rsid w:val="00E51CCF"/>
    <w:rsid w:val="00E856F2"/>
    <w:rsid w:val="00EB24FB"/>
    <w:rsid w:val="00F07BE7"/>
    <w:rsid w:val="00F43C13"/>
    <w:rsid w:val="00F62568"/>
    <w:rsid w:val="00F76926"/>
    <w:rsid w:val="00FB3683"/>
    <w:rsid w:val="02105DD0"/>
    <w:rsid w:val="0240746D"/>
    <w:rsid w:val="040B411D"/>
    <w:rsid w:val="05007AEE"/>
    <w:rsid w:val="0526510B"/>
    <w:rsid w:val="059E1599"/>
    <w:rsid w:val="07193BAA"/>
    <w:rsid w:val="07B6076A"/>
    <w:rsid w:val="082D4FDD"/>
    <w:rsid w:val="090C1858"/>
    <w:rsid w:val="09EE2355"/>
    <w:rsid w:val="0CB528CB"/>
    <w:rsid w:val="0E1D36A0"/>
    <w:rsid w:val="0F4F59CD"/>
    <w:rsid w:val="120B1F90"/>
    <w:rsid w:val="12667B29"/>
    <w:rsid w:val="12E07131"/>
    <w:rsid w:val="12F92F0C"/>
    <w:rsid w:val="134A1ED6"/>
    <w:rsid w:val="156D09DF"/>
    <w:rsid w:val="15833519"/>
    <w:rsid w:val="158F2583"/>
    <w:rsid w:val="15CF16A7"/>
    <w:rsid w:val="1869643A"/>
    <w:rsid w:val="19396899"/>
    <w:rsid w:val="1C7442B3"/>
    <w:rsid w:val="22D85D4C"/>
    <w:rsid w:val="22F25ECE"/>
    <w:rsid w:val="25212FD3"/>
    <w:rsid w:val="28E96924"/>
    <w:rsid w:val="2A54576C"/>
    <w:rsid w:val="2BB60B25"/>
    <w:rsid w:val="2CC02742"/>
    <w:rsid w:val="2D090FF3"/>
    <w:rsid w:val="2FC523C2"/>
    <w:rsid w:val="30AE4EC0"/>
    <w:rsid w:val="34D20F2E"/>
    <w:rsid w:val="35654925"/>
    <w:rsid w:val="3AD924FC"/>
    <w:rsid w:val="3B004E18"/>
    <w:rsid w:val="3D330BB6"/>
    <w:rsid w:val="3D6264D8"/>
    <w:rsid w:val="3DDE1894"/>
    <w:rsid w:val="3EC417EB"/>
    <w:rsid w:val="3EDE089F"/>
    <w:rsid w:val="42FA6101"/>
    <w:rsid w:val="45092324"/>
    <w:rsid w:val="452F3B0E"/>
    <w:rsid w:val="45350C77"/>
    <w:rsid w:val="45DD312E"/>
    <w:rsid w:val="476D465F"/>
    <w:rsid w:val="48C73E1D"/>
    <w:rsid w:val="4A5D4A24"/>
    <w:rsid w:val="4AA72944"/>
    <w:rsid w:val="4B023E8E"/>
    <w:rsid w:val="4C09423C"/>
    <w:rsid w:val="4CFB6F86"/>
    <w:rsid w:val="4E5D76B3"/>
    <w:rsid w:val="4E9A6E4E"/>
    <w:rsid w:val="517B78EA"/>
    <w:rsid w:val="535F2CD8"/>
    <w:rsid w:val="53C958CE"/>
    <w:rsid w:val="57FF5AA6"/>
    <w:rsid w:val="5A6C777F"/>
    <w:rsid w:val="5B6300AC"/>
    <w:rsid w:val="5B873EEC"/>
    <w:rsid w:val="5D002AC4"/>
    <w:rsid w:val="61775CA6"/>
    <w:rsid w:val="63432572"/>
    <w:rsid w:val="64824239"/>
    <w:rsid w:val="651D41DE"/>
    <w:rsid w:val="66360C97"/>
    <w:rsid w:val="664E34EF"/>
    <w:rsid w:val="66AD6BF4"/>
    <w:rsid w:val="67697C85"/>
    <w:rsid w:val="67D932EC"/>
    <w:rsid w:val="68A83D10"/>
    <w:rsid w:val="69E571BE"/>
    <w:rsid w:val="6C68355C"/>
    <w:rsid w:val="6D7F626F"/>
    <w:rsid w:val="6E7D71B4"/>
    <w:rsid w:val="6E9A0925"/>
    <w:rsid w:val="6EC00A89"/>
    <w:rsid w:val="70D24AB9"/>
    <w:rsid w:val="721E66BE"/>
    <w:rsid w:val="72B05E16"/>
    <w:rsid w:val="72DD6E9C"/>
    <w:rsid w:val="744C2821"/>
    <w:rsid w:val="75A72415"/>
    <w:rsid w:val="76F263B6"/>
    <w:rsid w:val="7737032A"/>
    <w:rsid w:val="775F78AE"/>
    <w:rsid w:val="79A25EAD"/>
    <w:rsid w:val="7BCE292E"/>
    <w:rsid w:val="7D43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312" w:lineRule="auto"/>
      <w:ind w:firstLine="420"/>
    </w:pPr>
  </w:style>
  <w:style w:type="paragraph" w:styleId="3">
    <w:name w:val="Body Text"/>
    <w:basedOn w:val="1"/>
    <w:autoRedefine/>
    <w:qFormat/>
    <w:uiPriority w:val="99"/>
    <w:pPr>
      <w:spacing w:after="120"/>
    </w:pPr>
  </w:style>
  <w:style w:type="paragraph" w:styleId="4">
    <w:name w:val="annotation text"/>
    <w:basedOn w:val="1"/>
    <w:link w:val="13"/>
    <w:autoRedefine/>
    <w:qFormat/>
    <w:uiPriority w:val="0"/>
    <w:pPr>
      <w:jc w:val="left"/>
    </w:pPr>
  </w:style>
  <w:style w:type="paragraph" w:styleId="5">
    <w:name w:val="Balloon Text"/>
    <w:basedOn w:val="1"/>
    <w:link w:val="17"/>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4"/>
    <w:autoRedefine/>
    <w:qFormat/>
    <w:uiPriority w:val="0"/>
    <w:rPr>
      <w:b/>
      <w:bCs/>
    </w:rPr>
  </w:style>
  <w:style w:type="character" w:styleId="11">
    <w:name w:val="page number"/>
    <w:basedOn w:val="10"/>
    <w:autoRedefine/>
    <w:qFormat/>
    <w:uiPriority w:val="0"/>
  </w:style>
  <w:style w:type="character" w:styleId="12">
    <w:name w:val="annotation reference"/>
    <w:basedOn w:val="10"/>
    <w:autoRedefine/>
    <w:qFormat/>
    <w:uiPriority w:val="0"/>
    <w:rPr>
      <w:sz w:val="21"/>
      <w:szCs w:val="21"/>
    </w:rPr>
  </w:style>
  <w:style w:type="character" w:customStyle="1" w:styleId="13">
    <w:name w:val="批注文字 Char"/>
    <w:basedOn w:val="10"/>
    <w:link w:val="4"/>
    <w:autoRedefine/>
    <w:qFormat/>
    <w:uiPriority w:val="0"/>
    <w:rPr>
      <w:kern w:val="2"/>
      <w:sz w:val="21"/>
      <w:szCs w:val="24"/>
    </w:rPr>
  </w:style>
  <w:style w:type="character" w:customStyle="1" w:styleId="14">
    <w:name w:val="批注主题 Char"/>
    <w:basedOn w:val="13"/>
    <w:link w:val="8"/>
    <w:autoRedefine/>
    <w:qFormat/>
    <w:uiPriority w:val="0"/>
    <w:rPr>
      <w:b/>
      <w:bCs/>
      <w:kern w:val="2"/>
      <w:sz w:val="21"/>
      <w:szCs w:val="24"/>
    </w:rPr>
  </w:style>
  <w:style w:type="paragraph" w:customStyle="1" w:styleId="15">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16">
    <w:name w:val="List Paragraph"/>
    <w:basedOn w:val="1"/>
    <w:autoRedefine/>
    <w:qFormat/>
    <w:uiPriority w:val="99"/>
    <w:pPr>
      <w:ind w:firstLine="420" w:firstLineChars="200"/>
    </w:pPr>
  </w:style>
  <w:style w:type="character" w:customStyle="1" w:styleId="17">
    <w:name w:val="批注框文本 Char"/>
    <w:basedOn w:val="10"/>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8D11D-5ACA-4DC7-A671-153274522E7C}">
  <ds:schemaRefs/>
</ds:datastoreItem>
</file>

<file path=docProps/app.xml><?xml version="1.0" encoding="utf-8"?>
<Properties xmlns="http://schemas.openxmlformats.org/officeDocument/2006/extended-properties" xmlns:vt="http://schemas.openxmlformats.org/officeDocument/2006/docPropsVTypes">
  <Template>Normal</Template>
  <Pages>8</Pages>
  <Words>555</Words>
  <Characters>3166</Characters>
  <Lines>26</Lines>
  <Paragraphs>7</Paragraphs>
  <TotalTime>4</TotalTime>
  <ScaleCrop>false</ScaleCrop>
  <LinksUpToDate>false</LinksUpToDate>
  <CharactersWithSpaces>3714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2022-09-13T02:39:00Z</dcterms:created>
  <dc:creator>dell</dc:creator>
  <cp:lastModifiedBy>lixiaoli</cp:lastModifiedBy>
  <cp:lastPrinted>2022-09-06T09:18:00Z</cp:lastPrinted>
  <dcterms:modified xsi:type="dcterms:W3CDTF">2024-04-17T08:14:31Z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C45FFBD2901E4BCB9F3B214727A55FC8_13</vt:lpwstr>
  </property>
</Properties>
</file>